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BC737" w14:textId="17A415D7" w:rsidR="002179F8" w:rsidRPr="00F542A0" w:rsidRDefault="002179F8" w:rsidP="002179F8">
      <w:pPr>
        <w:pStyle w:val="Header"/>
        <w:tabs>
          <w:tab w:val="right" w:pos="9781"/>
          <w:tab w:val="right" w:pos="13323"/>
        </w:tabs>
        <w:spacing w:before="60" w:after="60"/>
        <w:outlineLvl w:val="0"/>
        <w:rPr>
          <w:rFonts w:cs="Arial"/>
          <w:b w:val="0"/>
          <w:sz w:val="24"/>
          <w:szCs w:val="24"/>
          <w:lang w:eastAsia="zh-CN"/>
        </w:rPr>
      </w:pPr>
      <w:bookmarkStart w:id="0" w:name="Title"/>
      <w:bookmarkStart w:id="1" w:name="_Ref462675860"/>
      <w:bookmarkStart w:id="2" w:name="_Ref465963108"/>
      <w:bookmarkEnd w:id="0"/>
      <w:r w:rsidRPr="00F542A0">
        <w:rPr>
          <w:rFonts w:cs="Arial"/>
          <w:sz w:val="24"/>
          <w:szCs w:val="24"/>
          <w:lang w:eastAsia="zh-CN"/>
        </w:rPr>
        <w:t>3GPP TSG-RAN WG4 Meeting #114</w:t>
      </w:r>
      <w:r>
        <w:rPr>
          <w:rFonts w:cs="Arial"/>
          <w:sz w:val="24"/>
          <w:szCs w:val="24"/>
          <w:lang w:eastAsia="zh-CN"/>
        </w:rPr>
        <w:t>bis</w:t>
      </w:r>
      <w:r w:rsidRPr="00F542A0">
        <w:rPr>
          <w:rFonts w:cs="Arial"/>
          <w:sz w:val="24"/>
          <w:szCs w:val="24"/>
          <w:lang w:eastAsia="zh-CN"/>
        </w:rPr>
        <w:tab/>
      </w:r>
      <w:r w:rsidR="008D3522" w:rsidRPr="008D3522">
        <w:rPr>
          <w:rFonts w:cs="Arial"/>
          <w:sz w:val="24"/>
          <w:szCs w:val="24"/>
          <w:lang w:eastAsia="zh-CN"/>
        </w:rPr>
        <w:t>R4-2504341</w:t>
      </w:r>
    </w:p>
    <w:p w14:paraId="791013D3" w14:textId="74B0F8B5" w:rsidR="00510EC7" w:rsidRPr="00B144E9" w:rsidRDefault="002179F8" w:rsidP="002179F8">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r>
        <w:rPr>
          <w:rFonts w:cs="Arial"/>
          <w:sz w:val="24"/>
        </w:rPr>
        <w:br/>
      </w:r>
    </w:p>
    <w:p w14:paraId="78D5754B" w14:textId="7C6F68F1" w:rsidR="00510EC7" w:rsidRPr="00785E35" w:rsidRDefault="00510EC7" w:rsidP="00510EC7">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3" w:name="Source"/>
      <w:bookmarkEnd w:id="3"/>
      <w:r w:rsidR="0040655A">
        <w:rPr>
          <w:rFonts w:ascii="Arial" w:hAnsi="Arial"/>
          <w:sz w:val="24"/>
        </w:rPr>
        <w:t>7</w:t>
      </w:r>
      <w:r>
        <w:rPr>
          <w:rFonts w:ascii="Arial" w:hAnsi="Arial"/>
          <w:sz w:val="24"/>
        </w:rPr>
        <w:t>.</w:t>
      </w:r>
      <w:r w:rsidR="00C82506">
        <w:rPr>
          <w:rFonts w:ascii="Arial" w:hAnsi="Arial"/>
          <w:sz w:val="24"/>
        </w:rPr>
        <w:t>2</w:t>
      </w:r>
      <w:r w:rsidR="009E4D3F">
        <w:rPr>
          <w:rFonts w:ascii="Arial" w:hAnsi="Arial"/>
          <w:sz w:val="24"/>
        </w:rPr>
        <w:t>3</w:t>
      </w:r>
      <w:r>
        <w:rPr>
          <w:rFonts w:ascii="Arial" w:hAnsi="Arial"/>
          <w:sz w:val="24"/>
        </w:rPr>
        <w:t>.</w:t>
      </w:r>
      <w:r w:rsidR="0094195C">
        <w:rPr>
          <w:rFonts w:ascii="Arial" w:hAnsi="Arial"/>
          <w:sz w:val="24"/>
        </w:rPr>
        <w:t>2.</w:t>
      </w:r>
      <w:r>
        <w:rPr>
          <w:rFonts w:ascii="Arial" w:hAnsi="Arial"/>
          <w:sz w:val="24"/>
        </w:rPr>
        <w:t>1</w:t>
      </w:r>
    </w:p>
    <w:p w14:paraId="3001B0F6" w14:textId="77777777" w:rsidR="00510EC7" w:rsidRPr="00785E35" w:rsidRDefault="00510EC7" w:rsidP="00510EC7">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4BEEAACD" w14:textId="19C42365" w:rsidR="00510EC7" w:rsidRPr="00785E35" w:rsidRDefault="00510EC7" w:rsidP="00510EC7">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Pr>
          <w:rFonts w:ascii="Arial" w:hAnsi="Arial"/>
          <w:sz w:val="24"/>
        </w:rPr>
        <w:t>Views on new requirements for SBFD</w:t>
      </w:r>
    </w:p>
    <w:p w14:paraId="1E1B67B8" w14:textId="77777777" w:rsidR="00510EC7" w:rsidRPr="00785E35" w:rsidRDefault="00510EC7" w:rsidP="00510EC7">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4" w:name="DocumentFor"/>
      <w:bookmarkEnd w:id="4"/>
      <w:r>
        <w:rPr>
          <w:rFonts w:ascii="Arial" w:hAnsi="Arial"/>
          <w:sz w:val="24"/>
        </w:rPr>
        <w:t xml:space="preserve">Approval </w:t>
      </w:r>
    </w:p>
    <w:p w14:paraId="57A32C14" w14:textId="77777777" w:rsidR="00A37CEF" w:rsidRPr="00785E35" w:rsidRDefault="00A37CEF" w:rsidP="002A0877">
      <w:pPr>
        <w:pStyle w:val="Heading1"/>
        <w:jc w:val="both"/>
      </w:pPr>
      <w:r w:rsidRPr="00785E35">
        <w:t>Introduction</w:t>
      </w:r>
      <w:bookmarkEnd w:id="1"/>
      <w:bookmarkEnd w:id="2"/>
    </w:p>
    <w:p w14:paraId="16D1D869" w14:textId="400BAE13" w:rsidR="00A37CEF" w:rsidRPr="005C6CB9" w:rsidRDefault="00A37CEF" w:rsidP="002A0877">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2A0877">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23172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2A0877">
      <w:pPr>
        <w:jc w:val="both"/>
      </w:pPr>
    </w:p>
    <w:p w14:paraId="6556B6C7" w14:textId="6B36A1BF" w:rsidR="00A37CEF" w:rsidRDefault="0023172D" w:rsidP="002A0877">
      <w:pPr>
        <w:jc w:val="both"/>
      </w:pPr>
      <w:r>
        <w:t>In RAN4#11</w:t>
      </w:r>
      <w:r w:rsidR="000027E7">
        <w:t>4</w:t>
      </w:r>
      <w:r>
        <w:t xml:space="preserve">, a WF was agreed in [2]. </w:t>
      </w:r>
      <w:r w:rsidR="00A37CEF">
        <w:t xml:space="preserve">In this contribution we </w:t>
      </w:r>
      <w:r w:rsidR="00EB7153">
        <w:t xml:space="preserve">share our views on </w:t>
      </w:r>
      <w:r w:rsidR="002E21FA">
        <w:t xml:space="preserve">existing BS RF requirements </w:t>
      </w:r>
      <w:r w:rsidR="00EF49CD">
        <w:t xml:space="preserve">for Rel-19 SBFD. </w:t>
      </w:r>
    </w:p>
    <w:p w14:paraId="6181D53E" w14:textId="7293812E" w:rsidR="004F281F" w:rsidRPr="00442055" w:rsidRDefault="00EF476A" w:rsidP="00442055">
      <w:pPr>
        <w:pStyle w:val="Heading1"/>
      </w:pPr>
      <w:r>
        <w:t>New</w:t>
      </w:r>
      <w:r w:rsidR="00540B8E">
        <w:t xml:space="preserve"> </w:t>
      </w:r>
      <w:r w:rsidR="001F7C18">
        <w:t xml:space="preserve">BS </w:t>
      </w:r>
      <w:r w:rsidR="00275C28">
        <w:t>RF requirements</w:t>
      </w:r>
      <w:r>
        <w:t xml:space="preserve"> for SBFD operation </w:t>
      </w:r>
      <w:r w:rsidR="00D81C2B" w:rsidRPr="00E60F3D">
        <w:rPr>
          <w:b/>
          <w:bCs/>
        </w:rPr>
        <w:t xml:space="preserve"> </w:t>
      </w:r>
      <w:r w:rsidR="00676CAA" w:rsidRPr="00E60F3D">
        <w:rPr>
          <w:b/>
          <w:bCs/>
        </w:rPr>
        <w:t xml:space="preserve"> </w:t>
      </w:r>
      <w:r w:rsidR="00477361" w:rsidRPr="00442055">
        <w:rPr>
          <w:b/>
          <w:bCs/>
        </w:rPr>
        <w:t xml:space="preserve"> </w:t>
      </w:r>
    </w:p>
    <w:p w14:paraId="1894B774" w14:textId="269C3C56" w:rsidR="00906430" w:rsidRDefault="00906430" w:rsidP="00906430">
      <w:pPr>
        <w:pStyle w:val="Heading2"/>
        <w:rPr>
          <w:lang w:val="en-US"/>
        </w:rPr>
      </w:pPr>
      <w:r>
        <w:rPr>
          <w:lang w:val="en-US"/>
        </w:rPr>
        <w:t>Requirements for Transient period between SBFD and non-SBFD</w:t>
      </w:r>
    </w:p>
    <w:p w14:paraId="49E8B39B" w14:textId="0DE62370" w:rsidR="003A1C93" w:rsidRDefault="00EB2CED" w:rsidP="00EB2CED">
      <w:pPr>
        <w:rPr>
          <w:szCs w:val="13"/>
        </w:rPr>
      </w:pPr>
      <w:r>
        <w:t xml:space="preserve">In [2], the following was agreed regarding </w:t>
      </w:r>
      <w:r w:rsidR="00502761">
        <w:rPr>
          <w:szCs w:val="13"/>
        </w:rPr>
        <w:t>the l</w:t>
      </w:r>
      <w:r w:rsidR="00502761" w:rsidRPr="006C0192">
        <w:rPr>
          <w:szCs w:val="13"/>
        </w:rPr>
        <w:t>ocation of transient period between SBFD and non-SBFD</w:t>
      </w:r>
      <w:r w:rsidR="003A1C93">
        <w:rPr>
          <w:szCs w:val="13"/>
        </w:rPr>
        <w:t xml:space="preserve"> </w:t>
      </w:r>
      <w:r w:rsidR="00891C30">
        <w:rPr>
          <w:szCs w:val="13"/>
        </w:rPr>
        <w:t>symbols</w:t>
      </w:r>
      <w:r w:rsidR="003A1C93">
        <w:rPr>
          <w:szCs w:val="13"/>
        </w:rPr>
        <w:t xml:space="preserve"> as follows:</w:t>
      </w:r>
    </w:p>
    <w:tbl>
      <w:tblPr>
        <w:tblStyle w:val="TableGrid"/>
        <w:tblW w:w="0" w:type="auto"/>
        <w:tblLook w:val="04A0" w:firstRow="1" w:lastRow="0" w:firstColumn="1" w:lastColumn="0" w:noHBand="0" w:noVBand="1"/>
      </w:tblPr>
      <w:tblGrid>
        <w:gridCol w:w="9962"/>
      </w:tblGrid>
      <w:tr w:rsidR="003A1C93" w14:paraId="20D5D98A" w14:textId="77777777" w:rsidTr="003A1C93">
        <w:tc>
          <w:tcPr>
            <w:tcW w:w="9962" w:type="dxa"/>
          </w:tcPr>
          <w:p w14:paraId="204FC0B7" w14:textId="77777777" w:rsidR="00853AE2" w:rsidRPr="00853AE2" w:rsidRDefault="00853AE2" w:rsidP="00853AE2">
            <w:pPr>
              <w:pStyle w:val="ListParagraph"/>
              <w:numPr>
                <w:ilvl w:val="0"/>
                <w:numId w:val="30"/>
              </w:numPr>
              <w:spacing w:after="120"/>
              <w:rPr>
                <w:rFonts w:ascii="Times New Roman" w:hAnsi="Times New Roman"/>
              </w:rPr>
            </w:pPr>
            <w:r w:rsidRPr="00853AE2">
              <w:rPr>
                <w:rFonts w:ascii="Times New Roman" w:hAnsi="Times New Roman"/>
              </w:rPr>
              <w:t>Case-A: in TA_offset in SBFD symbol(s</w:t>
            </w:r>
            <w:proofErr w:type="gramStart"/>
            <w:r w:rsidRPr="00853AE2">
              <w:rPr>
                <w:rFonts w:ascii="Times New Roman" w:hAnsi="Times New Roman"/>
              </w:rPr>
              <w:t>);</w:t>
            </w:r>
            <w:proofErr w:type="gramEnd"/>
            <w:r w:rsidRPr="00853AE2">
              <w:rPr>
                <w:rFonts w:ascii="Times New Roman" w:hAnsi="Times New Roman"/>
              </w:rPr>
              <w:t xml:space="preserve"> </w:t>
            </w:r>
          </w:p>
          <w:p w14:paraId="2EA0F786" w14:textId="77777777" w:rsidR="00853AE2" w:rsidRPr="00853AE2" w:rsidRDefault="00853AE2" w:rsidP="00853AE2">
            <w:pPr>
              <w:pStyle w:val="ListParagraph"/>
              <w:numPr>
                <w:ilvl w:val="0"/>
                <w:numId w:val="30"/>
              </w:numPr>
              <w:spacing w:after="120"/>
              <w:rPr>
                <w:rFonts w:ascii="Times New Roman" w:hAnsi="Times New Roman"/>
              </w:rPr>
            </w:pPr>
            <w:r w:rsidRPr="00853AE2">
              <w:rPr>
                <w:rFonts w:ascii="Times New Roman" w:hAnsi="Times New Roman"/>
              </w:rPr>
              <w:t>Case-B: in guard symbol(s) reserved before UL non-SBFD symbols</w:t>
            </w:r>
          </w:p>
          <w:p w14:paraId="70449300" w14:textId="77777777" w:rsidR="00853AE2" w:rsidRPr="00853AE2" w:rsidRDefault="00853AE2" w:rsidP="00853AE2">
            <w:pPr>
              <w:pStyle w:val="ListParagraph"/>
              <w:numPr>
                <w:ilvl w:val="1"/>
                <w:numId w:val="30"/>
              </w:numPr>
              <w:spacing w:after="120"/>
              <w:rPr>
                <w:rFonts w:ascii="Times New Roman" w:hAnsi="Times New Roman"/>
              </w:rPr>
            </w:pPr>
            <w:r w:rsidRPr="00853AE2">
              <w:rPr>
                <w:rFonts w:ascii="Times New Roman" w:eastAsiaTheme="minorEastAsia" w:hAnsi="Times New Roman"/>
              </w:rPr>
              <w:t xml:space="preserve">FFS guard symbol(s) in this case is SBFD symbol or not. </w:t>
            </w:r>
          </w:p>
          <w:p w14:paraId="11C85BDB" w14:textId="77777777" w:rsidR="00853AE2" w:rsidRPr="00853AE2" w:rsidRDefault="00853AE2" w:rsidP="00853AE2">
            <w:pPr>
              <w:pStyle w:val="ListParagraph"/>
              <w:numPr>
                <w:ilvl w:val="0"/>
                <w:numId w:val="30"/>
              </w:numPr>
              <w:spacing w:after="120"/>
              <w:rPr>
                <w:rFonts w:ascii="Times New Roman" w:hAnsi="Times New Roman"/>
              </w:rPr>
            </w:pPr>
            <w:r w:rsidRPr="00853AE2">
              <w:rPr>
                <w:rFonts w:ascii="Times New Roman" w:hAnsi="Times New Roman"/>
              </w:rPr>
              <w:t>Case-C: FFS in guard symbol(s) reserved in non-SBFD DL symbol(s) or blanked SBFD symbols in the beginning of SBFD UL transmission:</w:t>
            </w:r>
          </w:p>
          <w:p w14:paraId="4E788B31" w14:textId="77777777" w:rsidR="00853AE2" w:rsidRPr="00853AE2" w:rsidRDefault="00853AE2" w:rsidP="00853AE2">
            <w:pPr>
              <w:pStyle w:val="ListParagraph"/>
              <w:numPr>
                <w:ilvl w:val="1"/>
                <w:numId w:val="30"/>
              </w:numPr>
              <w:spacing w:after="120"/>
              <w:rPr>
                <w:rFonts w:ascii="Times New Roman" w:hAnsi="Times New Roman"/>
              </w:rPr>
            </w:pPr>
            <w:r w:rsidRPr="00853AE2">
              <w:rPr>
                <w:rFonts w:ascii="Times New Roman" w:hAnsi="Times New Roman"/>
              </w:rPr>
              <w:t xml:space="preserve">RAN4 recognize that it can be dependent on RAN1 discussion for guard period design. </w:t>
            </w:r>
          </w:p>
          <w:p w14:paraId="0180BE35" w14:textId="77777777" w:rsidR="00853AE2" w:rsidRPr="00853AE2" w:rsidRDefault="00853AE2" w:rsidP="00853AE2">
            <w:pPr>
              <w:pStyle w:val="ListParagraph"/>
              <w:numPr>
                <w:ilvl w:val="1"/>
                <w:numId w:val="30"/>
              </w:numPr>
              <w:overflowPunct w:val="0"/>
              <w:autoSpaceDE w:val="0"/>
              <w:autoSpaceDN w:val="0"/>
              <w:adjustRightInd w:val="0"/>
              <w:spacing w:after="120"/>
              <w:textAlignment w:val="baseline"/>
              <w:rPr>
                <w:rFonts w:ascii="Times New Roman" w:hAnsi="Times New Roman"/>
              </w:rPr>
            </w:pPr>
            <w:r w:rsidRPr="00853AE2">
              <w:rPr>
                <w:rFonts w:ascii="Times New Roman" w:hAnsi="Times New Roman"/>
              </w:rPr>
              <w:t xml:space="preserve">If still no RAN4 agreement can be achieved in RAN4#114bis, RAN4 shall </w:t>
            </w:r>
          </w:p>
          <w:p w14:paraId="430D9DD8" w14:textId="77777777" w:rsidR="00853AE2" w:rsidRPr="00853AE2" w:rsidRDefault="00853AE2" w:rsidP="00853AE2">
            <w:pPr>
              <w:pStyle w:val="ListParagraph"/>
              <w:numPr>
                <w:ilvl w:val="2"/>
                <w:numId w:val="30"/>
              </w:numPr>
              <w:overflowPunct w:val="0"/>
              <w:autoSpaceDE w:val="0"/>
              <w:autoSpaceDN w:val="0"/>
              <w:adjustRightInd w:val="0"/>
              <w:spacing w:after="120"/>
              <w:textAlignment w:val="baseline"/>
              <w:rPr>
                <w:rFonts w:ascii="Times New Roman" w:hAnsi="Times New Roman"/>
              </w:rPr>
            </w:pPr>
            <w:r w:rsidRPr="00853AE2">
              <w:rPr>
                <w:rFonts w:ascii="Times New Roman" w:hAnsi="Times New Roman"/>
              </w:rPr>
              <w:t>either send LS to RAN1 to ask for clarification,</w:t>
            </w:r>
          </w:p>
          <w:p w14:paraId="7C6D2FD9" w14:textId="77777777" w:rsidR="00853AE2" w:rsidRPr="00853AE2" w:rsidRDefault="00853AE2" w:rsidP="00853AE2">
            <w:pPr>
              <w:pStyle w:val="ListParagraph"/>
              <w:numPr>
                <w:ilvl w:val="2"/>
                <w:numId w:val="30"/>
              </w:numPr>
              <w:overflowPunct w:val="0"/>
              <w:autoSpaceDE w:val="0"/>
              <w:autoSpaceDN w:val="0"/>
              <w:adjustRightInd w:val="0"/>
              <w:spacing w:after="120"/>
              <w:textAlignment w:val="baseline"/>
              <w:rPr>
                <w:rFonts w:ascii="Times New Roman" w:hAnsi="Times New Roman"/>
              </w:rPr>
            </w:pPr>
            <w:r w:rsidRPr="00853AE2">
              <w:rPr>
                <w:rFonts w:ascii="Times New Roman" w:hAnsi="Times New Roman"/>
              </w:rPr>
              <w:t>or conclude the location of transient period between SBFD and non-SBFD as gNB implementation issue without RAN4 requirement impact.</w:t>
            </w:r>
          </w:p>
          <w:p w14:paraId="03D18EF9" w14:textId="77777777" w:rsidR="00853AE2" w:rsidRPr="00853AE2" w:rsidRDefault="00853AE2" w:rsidP="00853AE2">
            <w:pPr>
              <w:pStyle w:val="ListParagraph"/>
              <w:numPr>
                <w:ilvl w:val="0"/>
                <w:numId w:val="30"/>
              </w:numPr>
              <w:spacing w:after="120"/>
              <w:rPr>
                <w:rFonts w:ascii="Times New Roman" w:hAnsi="Times New Roman"/>
              </w:rPr>
            </w:pPr>
            <w:r w:rsidRPr="00853AE2">
              <w:rPr>
                <w:rFonts w:ascii="Times New Roman" w:hAnsi="Times New Roman"/>
              </w:rPr>
              <w:t>Case-D: in TA_offset in non-SBFD UL symbol(s).</w:t>
            </w:r>
          </w:p>
          <w:p w14:paraId="196692BE" w14:textId="77777777" w:rsidR="00853AE2" w:rsidRPr="00853AE2" w:rsidRDefault="00853AE2" w:rsidP="00853AE2">
            <w:pPr>
              <w:pStyle w:val="ListParagraph"/>
              <w:numPr>
                <w:ilvl w:val="0"/>
                <w:numId w:val="30"/>
              </w:numPr>
              <w:spacing w:after="120"/>
              <w:rPr>
                <w:rFonts w:ascii="Times New Roman" w:hAnsi="Times New Roman"/>
              </w:rPr>
            </w:pPr>
            <w:r w:rsidRPr="00853AE2">
              <w:rPr>
                <w:rFonts w:ascii="Times New Roman" w:eastAsiaTheme="minorEastAsia" w:hAnsi="Times New Roman"/>
              </w:rPr>
              <w:t xml:space="preserve">Note: The illustrative figure for Case A, B, C and D is provided below: </w:t>
            </w:r>
          </w:p>
          <w:p w14:paraId="3E460FB8" w14:textId="6657DC8E" w:rsidR="003A1C93" w:rsidRPr="00853AE2" w:rsidRDefault="00853AE2" w:rsidP="00853AE2">
            <w:pPr>
              <w:pStyle w:val="ListParagraph"/>
              <w:spacing w:after="120"/>
              <w:ind w:left="1656"/>
            </w:pPr>
            <w:r w:rsidRPr="008D01FA">
              <w:rPr>
                <w:rFonts w:eastAsia="Malgun Gothic"/>
                <w:noProof/>
                <w:sz w:val="18"/>
                <w:szCs w:val="18"/>
              </w:rPr>
              <w:lastRenderedPageBreak/>
              <w:drawing>
                <wp:inline distT="0" distB="0" distL="0" distR="0" wp14:anchorId="30F22706" wp14:editId="54CFE1CD">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7"/>
                          <a:stretch>
                            <a:fillRect/>
                          </a:stretch>
                        </pic:blipFill>
                        <pic:spPr>
                          <a:xfrm>
                            <a:off x="0" y="0"/>
                            <a:ext cx="3625789" cy="1817590"/>
                          </a:xfrm>
                          <a:prstGeom prst="rect">
                            <a:avLst/>
                          </a:prstGeom>
                        </pic:spPr>
                      </pic:pic>
                    </a:graphicData>
                  </a:graphic>
                </wp:inline>
              </w:drawing>
            </w:r>
          </w:p>
        </w:tc>
      </w:tr>
    </w:tbl>
    <w:p w14:paraId="54AA18C3" w14:textId="77777777" w:rsidR="003A1C93" w:rsidRDefault="003A1C93" w:rsidP="00EB2CED">
      <w:pPr>
        <w:rPr>
          <w:szCs w:val="13"/>
        </w:rPr>
      </w:pPr>
    </w:p>
    <w:p w14:paraId="745CC9B9" w14:textId="77777777" w:rsidR="00CB17A2" w:rsidRDefault="002B7094" w:rsidP="000D4A71">
      <w:pPr>
        <w:rPr>
          <w:szCs w:val="13"/>
        </w:rPr>
      </w:pPr>
      <w:r>
        <w:rPr>
          <w:szCs w:val="13"/>
        </w:rPr>
        <w:t xml:space="preserve">It is worth noting that from the deployment point of view, cases B and C are the relevant ones </w:t>
      </w:r>
      <w:r w:rsidR="00891C30">
        <w:rPr>
          <w:szCs w:val="13"/>
        </w:rPr>
        <w:t>since we are not expecting to have transition from SBFD symbol to DL symbol or from UL symbol to SBFD symbol. Moreover, regarding the location of the transient period for cases B and D</w:t>
      </w:r>
      <w:r w:rsidR="009D561B">
        <w:rPr>
          <w:szCs w:val="13"/>
        </w:rPr>
        <w:t xml:space="preserve">, </w:t>
      </w:r>
      <w:r w:rsidR="000D4A71">
        <w:rPr>
          <w:szCs w:val="13"/>
        </w:rPr>
        <w:t xml:space="preserve">our first preference </w:t>
      </w:r>
      <w:r w:rsidR="00933625">
        <w:rPr>
          <w:szCs w:val="13"/>
        </w:rPr>
        <w:t xml:space="preserve">that RAN4 would not define the location of the transient period between SBFD and non-SBFD symbols, since it is gNB implementation aspect. </w:t>
      </w:r>
    </w:p>
    <w:p w14:paraId="546C6434" w14:textId="52337CB3" w:rsidR="00CB17A2" w:rsidRPr="00CB17A2" w:rsidRDefault="00CB17A2" w:rsidP="000D4A71">
      <w:pPr>
        <w:rPr>
          <w:b/>
          <w:bCs/>
          <w:szCs w:val="13"/>
        </w:rPr>
      </w:pPr>
      <w:r w:rsidRPr="003457A6">
        <w:rPr>
          <w:b/>
          <w:bCs/>
          <w:szCs w:val="13"/>
          <w:u w:val="single"/>
        </w:rPr>
        <w:t>Proposal 1</w:t>
      </w:r>
      <w:r w:rsidRPr="00CB17A2">
        <w:rPr>
          <w:b/>
          <w:bCs/>
          <w:szCs w:val="13"/>
        </w:rPr>
        <w:t xml:space="preserve">: RAN4 to not define the location of the transient period between SBFD and non-SBFD symbol in the core specification. </w:t>
      </w:r>
    </w:p>
    <w:p w14:paraId="15C0EDD6" w14:textId="50F75676" w:rsidR="009D561B" w:rsidRDefault="00933625" w:rsidP="000D4A71">
      <w:pPr>
        <w:rPr>
          <w:szCs w:val="13"/>
        </w:rPr>
      </w:pPr>
      <w:r>
        <w:rPr>
          <w:szCs w:val="13"/>
        </w:rPr>
        <w:t>In case companies within RAN4 would like to define the location in RAN4 specs, we believe that defining the location in the SBFD symbol</w:t>
      </w:r>
      <w:r w:rsidR="003457A6">
        <w:rPr>
          <w:szCs w:val="13"/>
        </w:rPr>
        <w:t>, as blanked symbols,</w:t>
      </w:r>
      <w:r>
        <w:rPr>
          <w:szCs w:val="13"/>
        </w:rPr>
        <w:t xml:space="preserve"> is the only viable way as defining them in the non-SBFD symbol will harm the legacy TDD symbols. </w:t>
      </w:r>
    </w:p>
    <w:p w14:paraId="6E03A3B7" w14:textId="03C1EEFD" w:rsidR="00CB17A2" w:rsidRPr="003457A6" w:rsidRDefault="00CB17A2" w:rsidP="000D4A71">
      <w:pPr>
        <w:rPr>
          <w:b/>
          <w:bCs/>
          <w:szCs w:val="13"/>
        </w:rPr>
      </w:pPr>
      <w:r w:rsidRPr="003457A6">
        <w:rPr>
          <w:b/>
          <w:bCs/>
          <w:szCs w:val="13"/>
          <w:u w:val="single"/>
        </w:rPr>
        <w:t>Proposal 2</w:t>
      </w:r>
      <w:r w:rsidRPr="003457A6">
        <w:rPr>
          <w:b/>
          <w:bCs/>
          <w:szCs w:val="13"/>
        </w:rPr>
        <w:t xml:space="preserve">: </w:t>
      </w:r>
      <w:r w:rsidR="00582B64" w:rsidRPr="003457A6">
        <w:rPr>
          <w:b/>
          <w:bCs/>
          <w:szCs w:val="13"/>
        </w:rPr>
        <w:t xml:space="preserve">In case RAN4 agreed to define the location of the transient period, RAN4 to agree to define the guard symbols in the </w:t>
      </w:r>
      <w:r w:rsidR="003457A6" w:rsidRPr="003457A6">
        <w:rPr>
          <w:b/>
          <w:bCs/>
          <w:szCs w:val="13"/>
        </w:rPr>
        <w:t>blanked</w:t>
      </w:r>
      <w:r w:rsidR="00582B64" w:rsidRPr="003457A6">
        <w:rPr>
          <w:b/>
          <w:bCs/>
          <w:szCs w:val="13"/>
        </w:rPr>
        <w:t xml:space="preserve"> SBFD symbol in the </w:t>
      </w:r>
      <w:r w:rsidR="003457A6" w:rsidRPr="003457A6">
        <w:rPr>
          <w:b/>
          <w:bCs/>
          <w:szCs w:val="13"/>
        </w:rPr>
        <w:t>beginning</w:t>
      </w:r>
      <w:r w:rsidR="00582B64" w:rsidRPr="003457A6">
        <w:rPr>
          <w:b/>
          <w:bCs/>
          <w:szCs w:val="13"/>
        </w:rPr>
        <w:t xml:space="preserve"> of the SBFD UL transmission </w:t>
      </w:r>
      <w:r w:rsidR="003457A6" w:rsidRPr="003457A6">
        <w:rPr>
          <w:b/>
          <w:bCs/>
          <w:szCs w:val="13"/>
        </w:rPr>
        <w:t xml:space="preserve">for case C and at the end of the SBFD transmission for case B. </w:t>
      </w:r>
    </w:p>
    <w:p w14:paraId="4602AFE2" w14:textId="7022495D" w:rsidR="00946E63" w:rsidRDefault="00946E63">
      <w:pPr>
        <w:pStyle w:val="Heading2"/>
        <w:rPr>
          <w:szCs w:val="13"/>
          <w:lang w:val="en-US"/>
        </w:rPr>
      </w:pPr>
      <w:r>
        <w:rPr>
          <w:szCs w:val="13"/>
          <w:lang w:val="en-US"/>
        </w:rPr>
        <w:t>I</w:t>
      </w:r>
      <w:r w:rsidRPr="005F74FB">
        <w:rPr>
          <w:szCs w:val="13"/>
          <w:lang w:val="en-US"/>
        </w:rPr>
        <w:t>n-channel adjacent subband leakage ratio</w:t>
      </w:r>
    </w:p>
    <w:p w14:paraId="2C17CC1D" w14:textId="739F86B5" w:rsidR="00B8110A" w:rsidRDefault="00B8110A" w:rsidP="00B8110A">
      <w:r>
        <w:t xml:space="preserve">In [2] the following was agreed </w:t>
      </w:r>
      <w:r w:rsidR="00EE118D">
        <w:t>regarding general aspects of the newly introduced in-channel adjacent subband leakage ratio</w:t>
      </w:r>
    </w:p>
    <w:tbl>
      <w:tblPr>
        <w:tblStyle w:val="TableGrid"/>
        <w:tblW w:w="0" w:type="auto"/>
        <w:tblInd w:w="-113" w:type="dxa"/>
        <w:tblLook w:val="04A0" w:firstRow="1" w:lastRow="0" w:firstColumn="1" w:lastColumn="0" w:noHBand="0" w:noVBand="1"/>
      </w:tblPr>
      <w:tblGrid>
        <w:gridCol w:w="9962"/>
      </w:tblGrid>
      <w:tr w:rsidR="00EE118D" w14:paraId="6AAB54E5" w14:textId="77777777" w:rsidTr="00EE118D">
        <w:tc>
          <w:tcPr>
            <w:tcW w:w="9962" w:type="dxa"/>
          </w:tcPr>
          <w:p w14:paraId="1B782585" w14:textId="77777777" w:rsidR="00EE118D" w:rsidRPr="00EE118D" w:rsidRDefault="00EE118D" w:rsidP="00EE118D">
            <w:pPr>
              <w:pStyle w:val="ListParagraph"/>
              <w:numPr>
                <w:ilvl w:val="0"/>
                <w:numId w:val="30"/>
              </w:numPr>
              <w:overflowPunct w:val="0"/>
              <w:autoSpaceDE w:val="0"/>
              <w:autoSpaceDN w:val="0"/>
              <w:adjustRightInd w:val="0"/>
              <w:spacing w:after="120"/>
              <w:textAlignment w:val="baseline"/>
              <w:rPr>
                <w:rFonts w:ascii="Times New Roman" w:eastAsia="SimSun" w:hAnsi="Times New Roman"/>
                <w:sz w:val="20"/>
                <w:szCs w:val="20"/>
              </w:rPr>
            </w:pPr>
            <w:r w:rsidRPr="00EE118D">
              <w:rPr>
                <w:rFonts w:ascii="Times New Roman" w:eastAsia="SimSun" w:hAnsi="Times New Roman"/>
                <w:sz w:val="20"/>
                <w:szCs w:val="20"/>
              </w:rPr>
              <w:t>In-channel adjacent subband leakage ratio requirement is defined with the existing ACLR requirement in absolute PSD limit value as baseline (i.e., Table 6.6.3.2-2 in TS 38.104 for FR1 and Table 9.7.3.3-2 for FR2 in TS 38.104)</w:t>
            </w:r>
          </w:p>
          <w:p w14:paraId="6B440DEB" w14:textId="77777777" w:rsidR="00EE118D" w:rsidRPr="00EE118D" w:rsidRDefault="00EE118D" w:rsidP="00EE118D">
            <w:pPr>
              <w:pStyle w:val="ListParagraph"/>
              <w:numPr>
                <w:ilvl w:val="1"/>
                <w:numId w:val="30"/>
              </w:numPr>
              <w:overflowPunct w:val="0"/>
              <w:autoSpaceDE w:val="0"/>
              <w:autoSpaceDN w:val="0"/>
              <w:adjustRightInd w:val="0"/>
              <w:spacing w:after="120"/>
              <w:textAlignment w:val="baseline"/>
              <w:rPr>
                <w:rFonts w:ascii="Times New Roman" w:eastAsia="SimSun" w:hAnsi="Times New Roman"/>
                <w:sz w:val="20"/>
                <w:szCs w:val="20"/>
              </w:rPr>
            </w:pPr>
            <w:r w:rsidRPr="00EE118D">
              <w:rPr>
                <w:rFonts w:ascii="Times New Roman" w:eastAsia="SimSun" w:hAnsi="Times New Roman"/>
                <w:sz w:val="20"/>
                <w:szCs w:val="20"/>
              </w:rPr>
              <w:t xml:space="preserve">FFS the value for absolute PSD limit </w:t>
            </w:r>
          </w:p>
          <w:p w14:paraId="12087CE0" w14:textId="75587D81" w:rsidR="00EE118D" w:rsidRPr="00EE118D" w:rsidRDefault="00EE118D" w:rsidP="00B8110A">
            <w:pPr>
              <w:pStyle w:val="ListParagraph"/>
              <w:numPr>
                <w:ilvl w:val="1"/>
                <w:numId w:val="30"/>
              </w:numPr>
              <w:overflowPunct w:val="0"/>
              <w:autoSpaceDE w:val="0"/>
              <w:autoSpaceDN w:val="0"/>
              <w:adjustRightInd w:val="0"/>
              <w:spacing w:after="120"/>
              <w:textAlignment w:val="baseline"/>
              <w:rPr>
                <w:rFonts w:ascii="Times New Roman" w:eastAsia="SimSun" w:hAnsi="Times New Roman"/>
                <w:sz w:val="20"/>
                <w:szCs w:val="20"/>
              </w:rPr>
            </w:pPr>
            <w:r w:rsidRPr="00EE118D">
              <w:rPr>
                <w:rFonts w:ascii="Times New Roman" w:eastAsia="SimSun" w:hAnsi="Times New Roman"/>
                <w:sz w:val="20"/>
                <w:szCs w:val="20"/>
              </w:rPr>
              <w:t>FFS the naming of this requirement, by considering the absolute PSD limit used instead of the ratio. Note that the current naming in TS 38.104 is ACLR absolute limit.</w:t>
            </w:r>
          </w:p>
        </w:tc>
      </w:tr>
    </w:tbl>
    <w:p w14:paraId="780ADF82" w14:textId="77777777" w:rsidR="005A5E35" w:rsidRDefault="005A5E35" w:rsidP="00B8110A"/>
    <w:p w14:paraId="66346D50" w14:textId="4274EAE3" w:rsidR="005A5E35" w:rsidRPr="00A03F90" w:rsidRDefault="005A5E35" w:rsidP="005A5E35">
      <w:pPr>
        <w:rPr>
          <w:lang w:val="en-GB"/>
        </w:rPr>
      </w:pPr>
      <w:r>
        <w:rPr>
          <w:lang w:val="en-GB"/>
        </w:rPr>
        <w:t>During the study item phase, legacy ACLR and ACS was assumed for inter-channel leakage and inter-channel selectivity, this was mainly assumed to progress the work on the coexistence between legacy TDD and new SBFD deployments for the different simulation scenarios. In our views, it is a viable way forward to follow what was done in the study item as a baseline and further agree on methodologies that could be agreed within RAN4 to confirm the feasibility of such way forward. One challenge for the in-channel new requirements is the dependency on the self-interference capability yields the definition of a new inter-subband requirement difficult to agree between different companies. As observed in Section 9 in TR 38.853, different implementations can be assumed among vendors, leading to different self-interference, co-sector interference, and inter-site interference mitigation capabilities. Moreover, employed technologies and mitigation techniques in the SBFD-capable gNB vary within RAN4, and thus, room for implementation differences should be considered when defining the new inter-subband leakage and blocking requirements.</w:t>
      </w:r>
    </w:p>
    <w:p w14:paraId="0452851C" w14:textId="207F11B8" w:rsidR="005A5E35" w:rsidRDefault="005A5E35" w:rsidP="005A5E35">
      <w:pPr>
        <w:rPr>
          <w:b/>
          <w:bCs/>
          <w:lang w:val="en-GB"/>
        </w:rPr>
      </w:pPr>
      <w:r w:rsidRPr="0099526C">
        <w:rPr>
          <w:b/>
          <w:bCs/>
          <w:u w:val="single"/>
          <w:lang w:val="en-GB"/>
        </w:rPr>
        <w:t xml:space="preserve">Observation </w:t>
      </w:r>
      <w:r w:rsidR="00B648A3">
        <w:rPr>
          <w:b/>
          <w:bCs/>
          <w:u w:val="single"/>
          <w:lang w:val="en-GB"/>
        </w:rPr>
        <w:t>1</w:t>
      </w:r>
      <w:r w:rsidRPr="002C31C6">
        <w:rPr>
          <w:b/>
          <w:bCs/>
          <w:lang w:val="en-GB"/>
        </w:rPr>
        <w:t>: The in-channel subband sub-band Tx leakage</w:t>
      </w:r>
      <w:r>
        <w:rPr>
          <w:b/>
          <w:bCs/>
          <w:lang w:val="en-GB"/>
        </w:rPr>
        <w:t xml:space="preserve"> and blocking</w:t>
      </w:r>
      <w:r w:rsidRPr="002C31C6">
        <w:rPr>
          <w:b/>
          <w:bCs/>
          <w:lang w:val="en-GB"/>
        </w:rPr>
        <w:t xml:space="preserve"> depend on the self-interference, inter-site and inter-sector interference considerations</w:t>
      </w:r>
      <w:r>
        <w:rPr>
          <w:b/>
          <w:bCs/>
          <w:lang w:val="en-GB"/>
        </w:rPr>
        <w:t xml:space="preserve">; thus, they are implementation dependent. </w:t>
      </w:r>
    </w:p>
    <w:p w14:paraId="0CDF1FFC" w14:textId="3595AC9C" w:rsidR="00442055" w:rsidRPr="00C441E3" w:rsidRDefault="005A5E35" w:rsidP="005A5E35">
      <w:pPr>
        <w:rPr>
          <w:b/>
          <w:bCs/>
        </w:rPr>
      </w:pPr>
      <w:r w:rsidRPr="00477361">
        <w:rPr>
          <w:b/>
          <w:bCs/>
          <w:u w:val="single"/>
          <w:lang w:val="en-GB"/>
        </w:rPr>
        <w:lastRenderedPageBreak/>
        <w:t xml:space="preserve">Proposal </w:t>
      </w:r>
      <w:r w:rsidR="00B648A3">
        <w:rPr>
          <w:b/>
          <w:bCs/>
          <w:u w:val="single"/>
          <w:lang w:val="en-GB"/>
        </w:rPr>
        <w:t>3</w:t>
      </w:r>
      <w:r w:rsidRPr="00477361">
        <w:rPr>
          <w:b/>
          <w:bCs/>
          <w:lang w:val="en-GB"/>
        </w:rPr>
        <w:t>: RAN4 to agree</w:t>
      </w:r>
      <w:r>
        <w:rPr>
          <w:b/>
          <w:bCs/>
          <w:lang w:val="en-GB"/>
        </w:rPr>
        <w:t xml:space="preserve"> on reusing </w:t>
      </w:r>
      <w:r w:rsidR="009B5630" w:rsidRPr="009B5630">
        <w:rPr>
          <w:b/>
          <w:bCs/>
        </w:rPr>
        <w:t xml:space="preserve">ACLR absolute basic </w:t>
      </w:r>
      <w:r w:rsidR="00117165">
        <w:rPr>
          <w:b/>
          <w:bCs/>
        </w:rPr>
        <w:t xml:space="preserve">limit given in </w:t>
      </w:r>
      <w:r w:rsidR="00117165" w:rsidRPr="00117165">
        <w:rPr>
          <w:b/>
          <w:bCs/>
        </w:rPr>
        <w:t>Table 6.6.3.2-2 in TS 38.104 for FR1 and Table 9.7.3.3-2 for FR2</w:t>
      </w:r>
      <w:r w:rsidR="00F43771">
        <w:rPr>
          <w:b/>
          <w:bCs/>
        </w:rPr>
        <w:t>-1</w:t>
      </w:r>
      <w:r w:rsidR="00117165" w:rsidRPr="00117165">
        <w:rPr>
          <w:b/>
          <w:bCs/>
        </w:rPr>
        <w:t xml:space="preserve">, for </w:t>
      </w:r>
      <w:r w:rsidRPr="00117165">
        <w:rPr>
          <w:b/>
          <w:bCs/>
        </w:rPr>
        <w:t>the new in-channel adjacent subband leakage</w:t>
      </w:r>
      <w:r w:rsidR="00117165" w:rsidRPr="00117165">
        <w:rPr>
          <w:b/>
          <w:bCs/>
        </w:rPr>
        <w:t>.</w:t>
      </w:r>
    </w:p>
    <w:p w14:paraId="66DAB274" w14:textId="11FBEC0C" w:rsidR="00442055" w:rsidRDefault="00B648A3">
      <w:pPr>
        <w:pStyle w:val="Heading2"/>
      </w:pPr>
      <w:r>
        <w:t xml:space="preserve">In-channel adjacent subband blocking requirement </w:t>
      </w:r>
    </w:p>
    <w:p w14:paraId="441D9F70" w14:textId="77777777" w:rsidR="00B648A3" w:rsidRDefault="00B648A3" w:rsidP="00B648A3">
      <w:pPr>
        <w:rPr>
          <w:lang w:val="en-GB"/>
        </w:rPr>
      </w:pPr>
      <w:r>
        <w:rPr>
          <w:lang w:val="en-GB"/>
        </w:rPr>
        <w:t xml:space="preserve">One of the main differences between the adjacent blocking requirement that are being discussed for SBFD-capable gNB and the in-channel adjacent subband blocking is the impact of the inter-gNB CLI mitigation/ handling techniques. Since in-channel emissions are being investigated, CLI handling techniques are a cornerstone of enabling intra-operator deployment of SBFD, as they offer solutions to mitigate intra-operator inter-gNB CLI. Accordingly, it is recommended that RAN4 consider the impact of the CLI handling schemes when analysing feasible in-channel adjacent subband blocking requirement. </w:t>
      </w:r>
    </w:p>
    <w:p w14:paraId="490AF31E" w14:textId="3AC51B09" w:rsidR="00B648A3" w:rsidRPr="00B648A3" w:rsidRDefault="00B648A3" w:rsidP="00B648A3">
      <w:pPr>
        <w:rPr>
          <w:lang w:val="en-GB"/>
        </w:rPr>
      </w:pPr>
      <w:r w:rsidRPr="00477361">
        <w:rPr>
          <w:b/>
          <w:bCs/>
          <w:u w:val="single"/>
          <w:lang w:val="en-GB"/>
        </w:rPr>
        <w:t xml:space="preserve">Proposal </w:t>
      </w:r>
      <w:r>
        <w:rPr>
          <w:b/>
          <w:bCs/>
          <w:u w:val="single"/>
          <w:lang w:val="en-GB"/>
        </w:rPr>
        <w:t>4</w:t>
      </w:r>
      <w:r w:rsidRPr="00477361">
        <w:rPr>
          <w:b/>
          <w:bCs/>
          <w:lang w:val="en-GB"/>
        </w:rPr>
        <w:t xml:space="preserve">: RAN4 </w:t>
      </w:r>
      <w:r>
        <w:rPr>
          <w:b/>
          <w:bCs/>
          <w:lang w:val="en-GB"/>
        </w:rPr>
        <w:t xml:space="preserve">consider the impact of inter-CLI handling schemes when analysing </w:t>
      </w:r>
      <w:r w:rsidRPr="000E57BA">
        <w:rPr>
          <w:b/>
          <w:bCs/>
          <w:lang w:val="en-GB"/>
        </w:rPr>
        <w:t>feasible in-channel adjacent subband blocking requirement.</w:t>
      </w:r>
      <w:r>
        <w:rPr>
          <w:lang w:val="en-GB"/>
        </w:rPr>
        <w:t xml:space="preserve"> </w:t>
      </w:r>
    </w:p>
    <w:p w14:paraId="46DCD988" w14:textId="77777777" w:rsidR="00A37CEF" w:rsidRDefault="00A37CEF" w:rsidP="002A0877">
      <w:pPr>
        <w:pStyle w:val="Heading1"/>
        <w:jc w:val="both"/>
      </w:pPr>
      <w:r>
        <w:t>Conclusion</w:t>
      </w:r>
    </w:p>
    <w:p w14:paraId="21920010" w14:textId="05FD8DAF" w:rsidR="00A37CEF" w:rsidRDefault="00A37CEF" w:rsidP="002A087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0E57BA">
        <w:t xml:space="preserve">new </w:t>
      </w:r>
      <w:r w:rsidR="00CE7110">
        <w:t xml:space="preserve">BS RF </w:t>
      </w:r>
      <w:r w:rsidR="004F2C94">
        <w:t>require</w:t>
      </w:r>
      <w:r w:rsidR="00CE7110">
        <w:t xml:space="preserve">ments for SBFD </w:t>
      </w:r>
      <w:r w:rsidRPr="00A562B7">
        <w:t>with</w:t>
      </w:r>
      <w:r>
        <w:t xml:space="preserve"> the </w:t>
      </w:r>
      <w:r w:rsidRPr="00A562B7">
        <w:t>following</w:t>
      </w:r>
      <w:r>
        <w:t xml:space="preserve"> observations and </w:t>
      </w:r>
      <w:r w:rsidRPr="00A562B7">
        <w:t>proposals:</w:t>
      </w:r>
    </w:p>
    <w:p w14:paraId="37D983E1" w14:textId="23026838" w:rsidR="00B648A3" w:rsidRPr="00B648A3" w:rsidRDefault="00B648A3" w:rsidP="00B648A3">
      <w:pPr>
        <w:rPr>
          <w:b/>
          <w:bCs/>
          <w:szCs w:val="13"/>
        </w:rPr>
      </w:pPr>
      <w:r w:rsidRPr="003457A6">
        <w:rPr>
          <w:b/>
          <w:bCs/>
          <w:szCs w:val="13"/>
          <w:u w:val="single"/>
        </w:rPr>
        <w:t>Proposal 1</w:t>
      </w:r>
      <w:r w:rsidRPr="00CB17A2">
        <w:rPr>
          <w:b/>
          <w:bCs/>
          <w:szCs w:val="13"/>
        </w:rPr>
        <w:t xml:space="preserve">: RAN4 to not define the location of the transient period between SBFD and non-SBFD symbol in the core specification. </w:t>
      </w:r>
    </w:p>
    <w:p w14:paraId="6BDD6D49" w14:textId="0E8C4FAE" w:rsidR="00B648A3" w:rsidRPr="00B648A3" w:rsidRDefault="00B648A3" w:rsidP="00B648A3">
      <w:pPr>
        <w:rPr>
          <w:b/>
          <w:bCs/>
          <w:szCs w:val="13"/>
        </w:rPr>
      </w:pPr>
      <w:r w:rsidRPr="003457A6">
        <w:rPr>
          <w:b/>
          <w:bCs/>
          <w:szCs w:val="13"/>
          <w:u w:val="single"/>
        </w:rPr>
        <w:t>Proposal 2</w:t>
      </w:r>
      <w:r w:rsidRPr="003457A6">
        <w:rPr>
          <w:b/>
          <w:bCs/>
          <w:szCs w:val="13"/>
        </w:rPr>
        <w:t xml:space="preserve">: In case RAN4 agreed to define the location of the transient period, RAN4 to agree to define the guard symbols in the blanked SBFD symbol in the beginning of the SBFD UL transmission for case C and at the end of the SBFD transmission for case B. </w:t>
      </w:r>
    </w:p>
    <w:p w14:paraId="024BD7AC" w14:textId="40D5F9D0" w:rsidR="00B648A3" w:rsidRPr="00B648A3" w:rsidRDefault="00B648A3" w:rsidP="00B648A3">
      <w:pPr>
        <w:rPr>
          <w:b/>
          <w:bCs/>
          <w:lang w:val="en-GB"/>
        </w:rPr>
      </w:pPr>
      <w:r w:rsidRPr="0099526C">
        <w:rPr>
          <w:b/>
          <w:bCs/>
          <w:u w:val="single"/>
          <w:lang w:val="en-GB"/>
        </w:rPr>
        <w:t xml:space="preserve">Observation </w:t>
      </w:r>
      <w:r>
        <w:rPr>
          <w:b/>
          <w:bCs/>
          <w:u w:val="single"/>
          <w:lang w:val="en-GB"/>
        </w:rPr>
        <w:t>1</w:t>
      </w:r>
      <w:r w:rsidRPr="002C31C6">
        <w:rPr>
          <w:b/>
          <w:bCs/>
          <w:lang w:val="en-GB"/>
        </w:rPr>
        <w:t>: The in-channel subband sub-band Tx leakage</w:t>
      </w:r>
      <w:r>
        <w:rPr>
          <w:b/>
          <w:bCs/>
          <w:lang w:val="en-GB"/>
        </w:rPr>
        <w:t xml:space="preserve"> and blocking</w:t>
      </w:r>
      <w:r w:rsidRPr="002C31C6">
        <w:rPr>
          <w:b/>
          <w:bCs/>
          <w:lang w:val="en-GB"/>
        </w:rPr>
        <w:t xml:space="preserve"> depend on the self-interference, inter-site and inter-sector interference considerations</w:t>
      </w:r>
      <w:r>
        <w:rPr>
          <w:b/>
          <w:bCs/>
          <w:lang w:val="en-GB"/>
        </w:rPr>
        <w:t xml:space="preserve">; thus, they are implementation dependent. </w:t>
      </w:r>
    </w:p>
    <w:p w14:paraId="18CDE1D5" w14:textId="7036D30F" w:rsidR="00B648A3" w:rsidRPr="00B648A3" w:rsidRDefault="00B648A3" w:rsidP="00B648A3">
      <w:pPr>
        <w:rPr>
          <w:b/>
          <w:bCs/>
        </w:rPr>
      </w:pPr>
      <w:r w:rsidRPr="00477361">
        <w:rPr>
          <w:b/>
          <w:bCs/>
          <w:u w:val="single"/>
          <w:lang w:val="en-GB"/>
        </w:rPr>
        <w:t xml:space="preserve">Proposal </w:t>
      </w:r>
      <w:r>
        <w:rPr>
          <w:b/>
          <w:bCs/>
          <w:u w:val="single"/>
          <w:lang w:val="en-GB"/>
        </w:rPr>
        <w:t>3</w:t>
      </w:r>
      <w:r w:rsidRPr="00477361">
        <w:rPr>
          <w:b/>
          <w:bCs/>
          <w:lang w:val="en-GB"/>
        </w:rPr>
        <w:t>: RAN4 to agree</w:t>
      </w:r>
      <w:r>
        <w:rPr>
          <w:b/>
          <w:bCs/>
          <w:lang w:val="en-GB"/>
        </w:rPr>
        <w:t xml:space="preserve"> on reusing </w:t>
      </w:r>
      <w:r w:rsidRPr="009B5630">
        <w:rPr>
          <w:b/>
          <w:bCs/>
        </w:rPr>
        <w:t xml:space="preserve">ACLR absolute basic </w:t>
      </w:r>
      <w:r>
        <w:rPr>
          <w:b/>
          <w:bCs/>
        </w:rPr>
        <w:t xml:space="preserve">limit given in </w:t>
      </w:r>
      <w:r w:rsidRPr="00117165">
        <w:rPr>
          <w:b/>
          <w:bCs/>
        </w:rPr>
        <w:t>Table 6.6.3.2-2 in TS 38.104 for FR1 and Table 9.7.3.3-2 for FR2</w:t>
      </w:r>
      <w:r>
        <w:rPr>
          <w:b/>
          <w:bCs/>
        </w:rPr>
        <w:t>-1</w:t>
      </w:r>
      <w:r w:rsidRPr="00117165">
        <w:rPr>
          <w:b/>
          <w:bCs/>
        </w:rPr>
        <w:t>, for the new in-channel adjacent subband leakage.</w:t>
      </w:r>
    </w:p>
    <w:p w14:paraId="4D4F10DD" w14:textId="382FB209" w:rsidR="00B648A3" w:rsidRPr="00B648A3" w:rsidRDefault="00B648A3" w:rsidP="00B648A3">
      <w:pPr>
        <w:rPr>
          <w:lang w:val="en-GB"/>
        </w:rPr>
      </w:pPr>
      <w:r w:rsidRPr="00477361">
        <w:rPr>
          <w:b/>
          <w:bCs/>
          <w:u w:val="single"/>
          <w:lang w:val="en-GB"/>
        </w:rPr>
        <w:t xml:space="preserve">Proposal </w:t>
      </w:r>
      <w:r>
        <w:rPr>
          <w:b/>
          <w:bCs/>
          <w:u w:val="single"/>
          <w:lang w:val="en-GB"/>
        </w:rPr>
        <w:t>4</w:t>
      </w:r>
      <w:r w:rsidRPr="00477361">
        <w:rPr>
          <w:b/>
          <w:bCs/>
          <w:lang w:val="en-GB"/>
        </w:rPr>
        <w:t xml:space="preserve">: RAN4 </w:t>
      </w:r>
      <w:r>
        <w:rPr>
          <w:b/>
          <w:bCs/>
          <w:lang w:val="en-GB"/>
        </w:rPr>
        <w:t xml:space="preserve">consider the impact of inter-CLI handling schemes when analysing </w:t>
      </w:r>
      <w:r w:rsidRPr="000E57BA">
        <w:rPr>
          <w:b/>
          <w:bCs/>
          <w:lang w:val="en-GB"/>
        </w:rPr>
        <w:t>feasible in-channel adjacent subband blocking requirement.</w:t>
      </w:r>
      <w:r>
        <w:rPr>
          <w:lang w:val="en-GB"/>
        </w:rPr>
        <w:t xml:space="preserve"> </w:t>
      </w:r>
    </w:p>
    <w:p w14:paraId="2B7C1C2C" w14:textId="77777777" w:rsidR="00A37CEF" w:rsidRPr="00D54742" w:rsidRDefault="00A37CEF" w:rsidP="002A0877">
      <w:pPr>
        <w:pStyle w:val="Heading1"/>
        <w:jc w:val="both"/>
      </w:pPr>
      <w:r>
        <w:t>References</w:t>
      </w:r>
    </w:p>
    <w:p w14:paraId="2FC73E23" w14:textId="77777777" w:rsidR="002C3946" w:rsidRDefault="002C3946" w:rsidP="002C3946">
      <w:pPr>
        <w:pStyle w:val="References"/>
        <w:numPr>
          <w:ilvl w:val="0"/>
          <w:numId w:val="2"/>
        </w:numPr>
        <w:autoSpaceDE/>
        <w:autoSpaceDN/>
        <w:snapToGrid/>
        <w:spacing w:after="80" w:line="256" w:lineRule="auto"/>
        <w:rPr>
          <w:szCs w:val="20"/>
          <w:lang w:val="en-GB"/>
        </w:rPr>
      </w:pPr>
      <w:bookmarkStart w:id="5" w:name="_Ref47616084"/>
      <w:bookmarkStart w:id="6" w:name="_Ref32439522"/>
      <w:r w:rsidRPr="00753211">
        <w:rPr>
          <w:szCs w:val="20"/>
          <w:lang w:val="en-GB"/>
        </w:rPr>
        <w:t>RP-240789</w:t>
      </w:r>
      <w:r w:rsidRPr="005C32DA">
        <w:rPr>
          <w:szCs w:val="20"/>
          <w:lang w:val="en-GB"/>
        </w:rPr>
        <w:t xml:space="preserve"> </w:t>
      </w:r>
      <w:r w:rsidRPr="00785E35">
        <w:rPr>
          <w:szCs w:val="20"/>
          <w:lang w:val="en-GB"/>
        </w:rPr>
        <w:t>“</w:t>
      </w:r>
      <w:r>
        <w:rPr>
          <w:szCs w:val="20"/>
          <w:lang w:val="en-GB"/>
        </w:rPr>
        <w:t>Revised</w:t>
      </w:r>
      <w:r w:rsidRPr="005945B3">
        <w:rPr>
          <w:szCs w:val="20"/>
          <w:lang w:val="en-GB"/>
        </w:rPr>
        <w:t xml:space="preserve"> WID: Evolution of NR duplex operation: Sub-band full duplex (SBFD)</w:t>
      </w:r>
      <w:r w:rsidRPr="00785E35">
        <w:rPr>
          <w:szCs w:val="20"/>
          <w:lang w:val="en-GB"/>
        </w:rPr>
        <w:t xml:space="preserve">”, </w:t>
      </w:r>
      <w:r>
        <w:rPr>
          <w:szCs w:val="20"/>
          <w:lang w:val="en-GB"/>
        </w:rPr>
        <w:t>Huawei, HiSilicon</w:t>
      </w:r>
      <w:r w:rsidRPr="00785E35">
        <w:rPr>
          <w:szCs w:val="20"/>
          <w:lang w:val="en-GB"/>
        </w:rPr>
        <w:t xml:space="preserve">, </w:t>
      </w:r>
      <w:r w:rsidRPr="003E1C6B">
        <w:rPr>
          <w:szCs w:val="20"/>
          <w:lang w:val="en-GB"/>
        </w:rPr>
        <w:t>3GPP TSG RAN#</w:t>
      </w:r>
      <w:r>
        <w:rPr>
          <w:szCs w:val="20"/>
          <w:lang w:val="en-GB"/>
        </w:rPr>
        <w:t>103</w:t>
      </w:r>
      <w:r w:rsidRPr="00785E35">
        <w:rPr>
          <w:szCs w:val="20"/>
          <w:lang w:val="en-GB"/>
        </w:rPr>
        <w:t>.</w:t>
      </w:r>
      <w:bookmarkEnd w:id="5"/>
    </w:p>
    <w:bookmarkEnd w:id="6"/>
    <w:p w14:paraId="7547DE2D" w14:textId="50A30C8C" w:rsidR="00A37CEF" w:rsidRPr="00493FAA" w:rsidRDefault="00493FAA" w:rsidP="002A0877">
      <w:pPr>
        <w:pStyle w:val="References"/>
        <w:numPr>
          <w:ilvl w:val="0"/>
          <w:numId w:val="2"/>
        </w:numPr>
        <w:autoSpaceDE/>
        <w:autoSpaceDN/>
        <w:snapToGrid/>
        <w:spacing w:after="80" w:line="256" w:lineRule="auto"/>
        <w:rPr>
          <w:szCs w:val="20"/>
          <w:lang w:val="en-GB"/>
        </w:rPr>
      </w:pPr>
      <w:r w:rsidRPr="004C242A">
        <w:rPr>
          <w:szCs w:val="20"/>
          <w:lang w:val="en-GB"/>
        </w:rPr>
        <w:t>R4-2502310</w:t>
      </w:r>
      <w:r w:rsidRPr="00A37CEF">
        <w:rPr>
          <w:szCs w:val="20"/>
          <w:lang w:val="en-GB"/>
        </w:rPr>
        <w:t>, “</w:t>
      </w:r>
      <w:r w:rsidRPr="00F10AFF">
        <w:rPr>
          <w:szCs w:val="20"/>
          <w:lang w:val="en-GB"/>
        </w:rPr>
        <w:t>Way Forward for [11</w:t>
      </w:r>
      <w:r>
        <w:rPr>
          <w:szCs w:val="20"/>
          <w:lang w:val="en-GB"/>
        </w:rPr>
        <w:t>3</w:t>
      </w:r>
      <w:r w:rsidRPr="00F10AFF">
        <w:rPr>
          <w:szCs w:val="20"/>
          <w:lang w:val="en-GB"/>
        </w:rPr>
        <w:t>][30</w:t>
      </w:r>
      <w:r>
        <w:rPr>
          <w:szCs w:val="20"/>
          <w:lang w:val="en-GB"/>
        </w:rPr>
        <w:t>6</w:t>
      </w:r>
      <w:r w:rsidRPr="00F10AFF">
        <w:rPr>
          <w:szCs w:val="20"/>
          <w:lang w:val="en-GB"/>
        </w:rPr>
        <w:t>] NR_duplex_evo_General</w:t>
      </w:r>
      <w:r w:rsidRPr="00A37CEF">
        <w:rPr>
          <w:szCs w:val="20"/>
          <w:lang w:val="en-GB"/>
        </w:rPr>
        <w:t xml:space="preserve">”, </w:t>
      </w:r>
      <w:r>
        <w:rPr>
          <w:szCs w:val="20"/>
          <w:lang w:val="en-GB"/>
        </w:rPr>
        <w:t>RAN4#114, Samsung</w:t>
      </w:r>
      <w:r w:rsidRPr="00A37CEF">
        <w:rPr>
          <w:szCs w:val="20"/>
          <w:lang w:val="en-GB"/>
        </w:rPr>
        <w:t xml:space="preserve">. </w:t>
      </w:r>
    </w:p>
    <w:sectPr w:rsidR="00A37CEF" w:rsidRPr="00493FAA" w:rsidSect="00370B59">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4DDA9" w14:textId="77777777" w:rsidR="00DE6320" w:rsidRDefault="00DE6320">
      <w:pPr>
        <w:spacing w:after="0"/>
      </w:pPr>
      <w:r>
        <w:separator/>
      </w:r>
    </w:p>
  </w:endnote>
  <w:endnote w:type="continuationSeparator" w:id="0">
    <w:p w14:paraId="20B74900" w14:textId="77777777" w:rsidR="00DE6320" w:rsidRDefault="00DE6320">
      <w:pPr>
        <w:spacing w:after="0"/>
      </w:pPr>
      <w:r>
        <w:continuationSeparator/>
      </w:r>
    </w:p>
  </w:endnote>
  <w:endnote w:type="continuationNotice" w:id="1">
    <w:p w14:paraId="7075E5AE" w14:textId="77777777" w:rsidR="001A16DC" w:rsidRDefault="001A1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22C2D" w14:textId="77777777" w:rsidR="00DE6320" w:rsidRDefault="00DE6320">
      <w:pPr>
        <w:spacing w:after="0"/>
      </w:pPr>
      <w:r>
        <w:separator/>
      </w:r>
    </w:p>
  </w:footnote>
  <w:footnote w:type="continuationSeparator" w:id="0">
    <w:p w14:paraId="6A99F5D5" w14:textId="77777777" w:rsidR="00DE6320" w:rsidRDefault="00DE6320">
      <w:pPr>
        <w:spacing w:after="0"/>
      </w:pPr>
      <w:r>
        <w:continuationSeparator/>
      </w:r>
    </w:p>
  </w:footnote>
  <w:footnote w:type="continuationNotice" w:id="1">
    <w:p w14:paraId="2B6E4B5F" w14:textId="77777777" w:rsidR="001A16DC" w:rsidRDefault="001A16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3699"/>
    <w:multiLevelType w:val="hybridMultilevel"/>
    <w:tmpl w:val="78BC4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36914"/>
    <w:multiLevelType w:val="hybridMultilevel"/>
    <w:tmpl w:val="F8F2FDF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1"/>
  </w:num>
  <w:num w:numId="2" w16cid:durableId="276178333">
    <w:abstractNumId w:val="0"/>
  </w:num>
  <w:num w:numId="3" w16cid:durableId="741606055">
    <w:abstractNumId w:val="2"/>
  </w:num>
  <w:num w:numId="4" w16cid:durableId="1935287387">
    <w:abstractNumId w:val="17"/>
  </w:num>
  <w:num w:numId="5" w16cid:durableId="1753619575">
    <w:abstractNumId w:val="22"/>
  </w:num>
  <w:num w:numId="6" w16cid:durableId="528227147">
    <w:abstractNumId w:val="7"/>
  </w:num>
  <w:num w:numId="7" w16cid:durableId="1151141409">
    <w:abstractNumId w:val="24"/>
  </w:num>
  <w:num w:numId="8" w16cid:durableId="1326208731">
    <w:abstractNumId w:val="21"/>
  </w:num>
  <w:num w:numId="9" w16cid:durableId="2096242991">
    <w:abstractNumId w:val="18"/>
  </w:num>
  <w:num w:numId="10" w16cid:durableId="964656557">
    <w:abstractNumId w:val="23"/>
  </w:num>
  <w:num w:numId="11" w16cid:durableId="724842134">
    <w:abstractNumId w:val="5"/>
  </w:num>
  <w:num w:numId="12" w16cid:durableId="1263489318">
    <w:abstractNumId w:val="30"/>
  </w:num>
  <w:num w:numId="13" w16cid:durableId="1656177574">
    <w:abstractNumId w:val="4"/>
  </w:num>
  <w:num w:numId="14" w16cid:durableId="1351568597">
    <w:abstractNumId w:val="1"/>
  </w:num>
  <w:num w:numId="15" w16cid:durableId="197086569">
    <w:abstractNumId w:val="8"/>
  </w:num>
  <w:num w:numId="16" w16cid:durableId="1700426356">
    <w:abstractNumId w:val="9"/>
  </w:num>
  <w:num w:numId="17" w16cid:durableId="517815193">
    <w:abstractNumId w:val="10"/>
  </w:num>
  <w:num w:numId="18" w16cid:durableId="1275752242">
    <w:abstractNumId w:val="20"/>
  </w:num>
  <w:num w:numId="19" w16cid:durableId="1417093260">
    <w:abstractNumId w:val="16"/>
  </w:num>
  <w:num w:numId="20" w16cid:durableId="925773427">
    <w:abstractNumId w:val="28"/>
  </w:num>
  <w:num w:numId="21" w16cid:durableId="306326423">
    <w:abstractNumId w:val="3"/>
  </w:num>
  <w:num w:numId="22" w16cid:durableId="1262372539">
    <w:abstractNumId w:val="15"/>
  </w:num>
  <w:num w:numId="23" w16cid:durableId="634524535">
    <w:abstractNumId w:val="14"/>
  </w:num>
  <w:num w:numId="24" w16cid:durableId="1509710620">
    <w:abstractNumId w:val="27"/>
  </w:num>
  <w:num w:numId="25" w16cid:durableId="475488186">
    <w:abstractNumId w:val="26"/>
  </w:num>
  <w:num w:numId="26" w16cid:durableId="577984225">
    <w:abstractNumId w:val="19"/>
  </w:num>
  <w:num w:numId="27" w16cid:durableId="236524678">
    <w:abstractNumId w:val="29"/>
  </w:num>
  <w:num w:numId="28" w16cid:durableId="1915163336">
    <w:abstractNumId w:val="12"/>
  </w:num>
  <w:num w:numId="29" w16cid:durableId="1180585837">
    <w:abstractNumId w:val="13"/>
  </w:num>
  <w:num w:numId="30" w16cid:durableId="130952112">
    <w:abstractNumId w:val="25"/>
  </w:num>
  <w:num w:numId="31" w16cid:durableId="21427229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7E7"/>
    <w:rsid w:val="00002BE6"/>
    <w:rsid w:val="00004ACF"/>
    <w:rsid w:val="00011B8F"/>
    <w:rsid w:val="00042F87"/>
    <w:rsid w:val="00046278"/>
    <w:rsid w:val="000522DE"/>
    <w:rsid w:val="00071946"/>
    <w:rsid w:val="0007385C"/>
    <w:rsid w:val="00097DDE"/>
    <w:rsid w:val="000B045F"/>
    <w:rsid w:val="000B0B8C"/>
    <w:rsid w:val="000C2D98"/>
    <w:rsid w:val="000D1A15"/>
    <w:rsid w:val="000D4A71"/>
    <w:rsid w:val="000E1A1B"/>
    <w:rsid w:val="000E57BA"/>
    <w:rsid w:val="0010208B"/>
    <w:rsid w:val="00110C08"/>
    <w:rsid w:val="00117165"/>
    <w:rsid w:val="00124C37"/>
    <w:rsid w:val="00125EDD"/>
    <w:rsid w:val="00127E88"/>
    <w:rsid w:val="00146ED2"/>
    <w:rsid w:val="00154124"/>
    <w:rsid w:val="001663D5"/>
    <w:rsid w:val="00171359"/>
    <w:rsid w:val="0017600B"/>
    <w:rsid w:val="001828E1"/>
    <w:rsid w:val="0018724C"/>
    <w:rsid w:val="001A16DC"/>
    <w:rsid w:val="001A2890"/>
    <w:rsid w:val="001B0613"/>
    <w:rsid w:val="001C19F4"/>
    <w:rsid w:val="001F7C18"/>
    <w:rsid w:val="0020337F"/>
    <w:rsid w:val="00205B4B"/>
    <w:rsid w:val="00214068"/>
    <w:rsid w:val="002179F8"/>
    <w:rsid w:val="00222793"/>
    <w:rsid w:val="002267C4"/>
    <w:rsid w:val="00226BAA"/>
    <w:rsid w:val="00227A45"/>
    <w:rsid w:val="0023172D"/>
    <w:rsid w:val="002415E8"/>
    <w:rsid w:val="00253E95"/>
    <w:rsid w:val="002559EB"/>
    <w:rsid w:val="002661E3"/>
    <w:rsid w:val="00271968"/>
    <w:rsid w:val="00275272"/>
    <w:rsid w:val="00275BBE"/>
    <w:rsid w:val="00275C28"/>
    <w:rsid w:val="00283960"/>
    <w:rsid w:val="00285987"/>
    <w:rsid w:val="002904E7"/>
    <w:rsid w:val="002A0877"/>
    <w:rsid w:val="002A48E5"/>
    <w:rsid w:val="002B37C9"/>
    <w:rsid w:val="002B7094"/>
    <w:rsid w:val="002C31C6"/>
    <w:rsid w:val="002C3946"/>
    <w:rsid w:val="002E21FA"/>
    <w:rsid w:val="002E379C"/>
    <w:rsid w:val="002E68AC"/>
    <w:rsid w:val="002E7C21"/>
    <w:rsid w:val="002F3C21"/>
    <w:rsid w:val="00301325"/>
    <w:rsid w:val="00302B97"/>
    <w:rsid w:val="0030660F"/>
    <w:rsid w:val="0031380B"/>
    <w:rsid w:val="0031595A"/>
    <w:rsid w:val="0032021E"/>
    <w:rsid w:val="00323D8C"/>
    <w:rsid w:val="00341CB4"/>
    <w:rsid w:val="0034356A"/>
    <w:rsid w:val="0034473B"/>
    <w:rsid w:val="003457A6"/>
    <w:rsid w:val="00367D24"/>
    <w:rsid w:val="00370B59"/>
    <w:rsid w:val="00372ECA"/>
    <w:rsid w:val="00376565"/>
    <w:rsid w:val="0038374B"/>
    <w:rsid w:val="0039127D"/>
    <w:rsid w:val="003A141C"/>
    <w:rsid w:val="003A1C93"/>
    <w:rsid w:val="003A2407"/>
    <w:rsid w:val="003A66A2"/>
    <w:rsid w:val="003B0935"/>
    <w:rsid w:val="003B0C33"/>
    <w:rsid w:val="003B1FFF"/>
    <w:rsid w:val="003B2015"/>
    <w:rsid w:val="003C7439"/>
    <w:rsid w:val="003D175F"/>
    <w:rsid w:val="003E41D4"/>
    <w:rsid w:val="00401DF9"/>
    <w:rsid w:val="00403187"/>
    <w:rsid w:val="0040655A"/>
    <w:rsid w:val="0042090E"/>
    <w:rsid w:val="00421E71"/>
    <w:rsid w:val="00422733"/>
    <w:rsid w:val="00422C13"/>
    <w:rsid w:val="00442055"/>
    <w:rsid w:val="004563FB"/>
    <w:rsid w:val="00460441"/>
    <w:rsid w:val="00465296"/>
    <w:rsid w:val="00477361"/>
    <w:rsid w:val="0048722C"/>
    <w:rsid w:val="00493FAA"/>
    <w:rsid w:val="004945D2"/>
    <w:rsid w:val="004972A7"/>
    <w:rsid w:val="004A56D0"/>
    <w:rsid w:val="004B0D97"/>
    <w:rsid w:val="004B1F7C"/>
    <w:rsid w:val="004C1401"/>
    <w:rsid w:val="004C497B"/>
    <w:rsid w:val="004D0585"/>
    <w:rsid w:val="004F281F"/>
    <w:rsid w:val="004F2C94"/>
    <w:rsid w:val="00502761"/>
    <w:rsid w:val="00504B42"/>
    <w:rsid w:val="00510EC7"/>
    <w:rsid w:val="00511429"/>
    <w:rsid w:val="00516597"/>
    <w:rsid w:val="00516DAF"/>
    <w:rsid w:val="00523634"/>
    <w:rsid w:val="0052648A"/>
    <w:rsid w:val="00531E79"/>
    <w:rsid w:val="00540B8E"/>
    <w:rsid w:val="00543697"/>
    <w:rsid w:val="00543C13"/>
    <w:rsid w:val="0055174F"/>
    <w:rsid w:val="00555FEC"/>
    <w:rsid w:val="00556286"/>
    <w:rsid w:val="00556880"/>
    <w:rsid w:val="00560D4B"/>
    <w:rsid w:val="005752C8"/>
    <w:rsid w:val="00582B64"/>
    <w:rsid w:val="00582C3B"/>
    <w:rsid w:val="00586E75"/>
    <w:rsid w:val="00593642"/>
    <w:rsid w:val="005A5E35"/>
    <w:rsid w:val="005C3F24"/>
    <w:rsid w:val="005C6CB9"/>
    <w:rsid w:val="005D66C2"/>
    <w:rsid w:val="005E52BB"/>
    <w:rsid w:val="005F730B"/>
    <w:rsid w:val="00604AEA"/>
    <w:rsid w:val="006141CE"/>
    <w:rsid w:val="00633543"/>
    <w:rsid w:val="0064631E"/>
    <w:rsid w:val="00664464"/>
    <w:rsid w:val="0066459F"/>
    <w:rsid w:val="00667B84"/>
    <w:rsid w:val="006727BE"/>
    <w:rsid w:val="006738CE"/>
    <w:rsid w:val="00675CB8"/>
    <w:rsid w:val="00676CAA"/>
    <w:rsid w:val="00680CA4"/>
    <w:rsid w:val="006818F8"/>
    <w:rsid w:val="006855AC"/>
    <w:rsid w:val="00690ED5"/>
    <w:rsid w:val="00692032"/>
    <w:rsid w:val="00693E11"/>
    <w:rsid w:val="006A7447"/>
    <w:rsid w:val="006A76FE"/>
    <w:rsid w:val="006B0E0F"/>
    <w:rsid w:val="006B167F"/>
    <w:rsid w:val="006B2638"/>
    <w:rsid w:val="006C7E4F"/>
    <w:rsid w:val="006D2AFF"/>
    <w:rsid w:val="006E0AE9"/>
    <w:rsid w:val="006F3008"/>
    <w:rsid w:val="006F730F"/>
    <w:rsid w:val="007018D8"/>
    <w:rsid w:val="00705014"/>
    <w:rsid w:val="0070632C"/>
    <w:rsid w:val="0072106E"/>
    <w:rsid w:val="00723A0B"/>
    <w:rsid w:val="007311B6"/>
    <w:rsid w:val="00733995"/>
    <w:rsid w:val="00745012"/>
    <w:rsid w:val="00752961"/>
    <w:rsid w:val="00753211"/>
    <w:rsid w:val="007621D1"/>
    <w:rsid w:val="0076351B"/>
    <w:rsid w:val="00767E7E"/>
    <w:rsid w:val="00771053"/>
    <w:rsid w:val="00773780"/>
    <w:rsid w:val="00777074"/>
    <w:rsid w:val="00781AF2"/>
    <w:rsid w:val="00791D7E"/>
    <w:rsid w:val="00797682"/>
    <w:rsid w:val="007C255B"/>
    <w:rsid w:val="007D63E0"/>
    <w:rsid w:val="007E3189"/>
    <w:rsid w:val="007E49C0"/>
    <w:rsid w:val="007F13E3"/>
    <w:rsid w:val="00801478"/>
    <w:rsid w:val="00806877"/>
    <w:rsid w:val="00812AFE"/>
    <w:rsid w:val="00816D3E"/>
    <w:rsid w:val="00821175"/>
    <w:rsid w:val="0082235C"/>
    <w:rsid w:val="00825345"/>
    <w:rsid w:val="00825F5E"/>
    <w:rsid w:val="00844D7A"/>
    <w:rsid w:val="00853AE2"/>
    <w:rsid w:val="00890214"/>
    <w:rsid w:val="00891C30"/>
    <w:rsid w:val="008950C0"/>
    <w:rsid w:val="0089771A"/>
    <w:rsid w:val="008A5ED0"/>
    <w:rsid w:val="008B00FC"/>
    <w:rsid w:val="008C20CD"/>
    <w:rsid w:val="008C608C"/>
    <w:rsid w:val="008D3522"/>
    <w:rsid w:val="008D6DE6"/>
    <w:rsid w:val="008E007A"/>
    <w:rsid w:val="008F1778"/>
    <w:rsid w:val="009003C9"/>
    <w:rsid w:val="009015C8"/>
    <w:rsid w:val="00904E4C"/>
    <w:rsid w:val="00906430"/>
    <w:rsid w:val="0090669B"/>
    <w:rsid w:val="00907F3F"/>
    <w:rsid w:val="009169F8"/>
    <w:rsid w:val="00925A3A"/>
    <w:rsid w:val="0093198E"/>
    <w:rsid w:val="00933625"/>
    <w:rsid w:val="0093672C"/>
    <w:rsid w:val="0094195C"/>
    <w:rsid w:val="00946833"/>
    <w:rsid w:val="00946E63"/>
    <w:rsid w:val="009534D5"/>
    <w:rsid w:val="00971CC2"/>
    <w:rsid w:val="00975340"/>
    <w:rsid w:val="00984C63"/>
    <w:rsid w:val="00987A27"/>
    <w:rsid w:val="0099526C"/>
    <w:rsid w:val="009B5630"/>
    <w:rsid w:val="009C07A6"/>
    <w:rsid w:val="009C497B"/>
    <w:rsid w:val="009D3DFA"/>
    <w:rsid w:val="009D561B"/>
    <w:rsid w:val="009D6FE1"/>
    <w:rsid w:val="009E4D3F"/>
    <w:rsid w:val="009E5680"/>
    <w:rsid w:val="009F0F3F"/>
    <w:rsid w:val="009F1412"/>
    <w:rsid w:val="00A03F90"/>
    <w:rsid w:val="00A06F1C"/>
    <w:rsid w:val="00A22A4B"/>
    <w:rsid w:val="00A25A5D"/>
    <w:rsid w:val="00A272D9"/>
    <w:rsid w:val="00A333A3"/>
    <w:rsid w:val="00A3361D"/>
    <w:rsid w:val="00A37CEF"/>
    <w:rsid w:val="00A4195F"/>
    <w:rsid w:val="00A51691"/>
    <w:rsid w:val="00A5423E"/>
    <w:rsid w:val="00A60640"/>
    <w:rsid w:val="00A64609"/>
    <w:rsid w:val="00A701A8"/>
    <w:rsid w:val="00A7799D"/>
    <w:rsid w:val="00A8606B"/>
    <w:rsid w:val="00A951B5"/>
    <w:rsid w:val="00A96DB3"/>
    <w:rsid w:val="00AA6CCC"/>
    <w:rsid w:val="00AC7ACA"/>
    <w:rsid w:val="00AD546F"/>
    <w:rsid w:val="00AD55E4"/>
    <w:rsid w:val="00AE1C58"/>
    <w:rsid w:val="00AF207B"/>
    <w:rsid w:val="00AF2ADB"/>
    <w:rsid w:val="00AF54AA"/>
    <w:rsid w:val="00AF6269"/>
    <w:rsid w:val="00B03D24"/>
    <w:rsid w:val="00B27162"/>
    <w:rsid w:val="00B35350"/>
    <w:rsid w:val="00B40F6E"/>
    <w:rsid w:val="00B42B77"/>
    <w:rsid w:val="00B43528"/>
    <w:rsid w:val="00B4571C"/>
    <w:rsid w:val="00B52C0B"/>
    <w:rsid w:val="00B54521"/>
    <w:rsid w:val="00B6421A"/>
    <w:rsid w:val="00B648A3"/>
    <w:rsid w:val="00B65869"/>
    <w:rsid w:val="00B671A2"/>
    <w:rsid w:val="00B8110A"/>
    <w:rsid w:val="00B8218A"/>
    <w:rsid w:val="00B8658A"/>
    <w:rsid w:val="00B93E24"/>
    <w:rsid w:val="00BB0D7F"/>
    <w:rsid w:val="00BC19E0"/>
    <w:rsid w:val="00BC2181"/>
    <w:rsid w:val="00BC26B2"/>
    <w:rsid w:val="00BC29C5"/>
    <w:rsid w:val="00BD49BF"/>
    <w:rsid w:val="00BF05C4"/>
    <w:rsid w:val="00BF3F6A"/>
    <w:rsid w:val="00C23752"/>
    <w:rsid w:val="00C42092"/>
    <w:rsid w:val="00C441E3"/>
    <w:rsid w:val="00C46B94"/>
    <w:rsid w:val="00C476F7"/>
    <w:rsid w:val="00C82506"/>
    <w:rsid w:val="00CB17A2"/>
    <w:rsid w:val="00CC1FEB"/>
    <w:rsid w:val="00CC3ED4"/>
    <w:rsid w:val="00CC5B9A"/>
    <w:rsid w:val="00CC5FFA"/>
    <w:rsid w:val="00CD1ACE"/>
    <w:rsid w:val="00CE7110"/>
    <w:rsid w:val="00CF325A"/>
    <w:rsid w:val="00CF3E04"/>
    <w:rsid w:val="00CF75D3"/>
    <w:rsid w:val="00D25E76"/>
    <w:rsid w:val="00D3736F"/>
    <w:rsid w:val="00D51D42"/>
    <w:rsid w:val="00D60509"/>
    <w:rsid w:val="00D81C2B"/>
    <w:rsid w:val="00D85800"/>
    <w:rsid w:val="00DA0180"/>
    <w:rsid w:val="00DA31C3"/>
    <w:rsid w:val="00DC004D"/>
    <w:rsid w:val="00DE0ACD"/>
    <w:rsid w:val="00DE6320"/>
    <w:rsid w:val="00DF05E5"/>
    <w:rsid w:val="00DF4BCD"/>
    <w:rsid w:val="00E010D1"/>
    <w:rsid w:val="00E02445"/>
    <w:rsid w:val="00E0451E"/>
    <w:rsid w:val="00E13A7C"/>
    <w:rsid w:val="00E210C6"/>
    <w:rsid w:val="00E242F2"/>
    <w:rsid w:val="00E307AE"/>
    <w:rsid w:val="00E324D7"/>
    <w:rsid w:val="00E4434F"/>
    <w:rsid w:val="00E51887"/>
    <w:rsid w:val="00E549B2"/>
    <w:rsid w:val="00E57003"/>
    <w:rsid w:val="00E5796C"/>
    <w:rsid w:val="00E60F3D"/>
    <w:rsid w:val="00E751F4"/>
    <w:rsid w:val="00E76E43"/>
    <w:rsid w:val="00E8553E"/>
    <w:rsid w:val="00E97104"/>
    <w:rsid w:val="00EA3C4E"/>
    <w:rsid w:val="00EA7DF6"/>
    <w:rsid w:val="00EB2CED"/>
    <w:rsid w:val="00EB7153"/>
    <w:rsid w:val="00ED7681"/>
    <w:rsid w:val="00EE118D"/>
    <w:rsid w:val="00EE146F"/>
    <w:rsid w:val="00EF442F"/>
    <w:rsid w:val="00EF476A"/>
    <w:rsid w:val="00EF49CD"/>
    <w:rsid w:val="00F0171B"/>
    <w:rsid w:val="00F0613B"/>
    <w:rsid w:val="00F12745"/>
    <w:rsid w:val="00F12D22"/>
    <w:rsid w:val="00F16740"/>
    <w:rsid w:val="00F220A3"/>
    <w:rsid w:val="00F43771"/>
    <w:rsid w:val="00F44EF7"/>
    <w:rsid w:val="00F46287"/>
    <w:rsid w:val="00F47183"/>
    <w:rsid w:val="00F5459B"/>
    <w:rsid w:val="00F74FA8"/>
    <w:rsid w:val="00F8145A"/>
    <w:rsid w:val="00F82715"/>
    <w:rsid w:val="00F965A9"/>
    <w:rsid w:val="00FA4705"/>
    <w:rsid w:val="00FA77C8"/>
    <w:rsid w:val="00FC4FAD"/>
    <w:rsid w:val="00FC7347"/>
    <w:rsid w:val="00FD4B25"/>
    <w:rsid w:val="00FE6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060875">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43539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2205</TotalTime>
  <Pages>3</Pages>
  <Words>1030</Words>
  <Characters>5871</Characters>
  <Application>Microsoft Office Word</Application>
  <DocSecurity>0</DocSecurity>
  <Lines>48</Lines>
  <Paragraphs>13</Paragraphs>
  <ScaleCrop>false</ScaleCrop>
  <Company>Qualcomm Incorporated</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Mustafa Emara</cp:lastModifiedBy>
  <cp:revision>363</cp:revision>
  <dcterms:created xsi:type="dcterms:W3CDTF">2024-03-19T10:25:00Z</dcterms:created>
  <dcterms:modified xsi:type="dcterms:W3CDTF">2025-03-28T14:35:00Z</dcterms:modified>
</cp:coreProperties>
</file>